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6F2" w:rsidRDefault="002726F2" w:rsidP="002726F2">
      <w:pPr>
        <w:keepNext w:val="0"/>
        <w:keepLines w:val="0"/>
        <w:autoSpaceDE w:val="0"/>
        <w:autoSpaceDN w:val="0"/>
        <w:adjustRightInd w:val="0"/>
        <w:spacing w:before="0" w:line="240" w:lineRule="auto"/>
        <w:rPr>
          <w:rFonts w:ascii="Arial" w:eastAsiaTheme="minorHAnsi" w:hAnsi="Arial" w:cs="Arial"/>
          <w:b/>
          <w:bCs/>
          <w:color w:val="auto"/>
          <w:sz w:val="20"/>
          <w:szCs w:val="20"/>
        </w:rPr>
      </w:pPr>
      <w:r>
        <w:rPr>
          <w:rFonts w:ascii="Arial" w:eastAsiaTheme="minorHAnsi" w:hAnsi="Arial" w:cs="Arial"/>
          <w:b/>
          <w:bCs/>
          <w:color w:val="auto"/>
          <w:sz w:val="20"/>
          <w:szCs w:val="20"/>
        </w:rPr>
        <w:t>ВЫДЕРЖКА ИЗ ГРАДОСТРОИТЕЛЬНОГО КОДЕКСА РОССИЙСКОЙ ФЕДЕРАЦИИ</w:t>
      </w:r>
      <w:bookmarkStart w:id="0" w:name="_GoBack"/>
      <w:bookmarkEnd w:id="0"/>
    </w:p>
    <w:p w:rsidR="002726F2" w:rsidRPr="002726F2" w:rsidRDefault="002726F2" w:rsidP="002726F2"/>
    <w:p w:rsidR="002726F2" w:rsidRDefault="002726F2" w:rsidP="002726F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10. КОМПЛЕКСНОЕ РАЗВИТИЕ ТЕРРИТОРИИ</w:t>
      </w:r>
    </w:p>
    <w:p w:rsidR="002726F2" w:rsidRDefault="002726F2" w:rsidP="002726F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4"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2726F2" w:rsidRDefault="002726F2" w:rsidP="002726F2">
      <w:pPr>
        <w:autoSpaceDE w:val="0"/>
        <w:autoSpaceDN w:val="0"/>
        <w:adjustRightInd w:val="0"/>
        <w:spacing w:after="0" w:line="240" w:lineRule="auto"/>
        <w:jc w:val="both"/>
        <w:rPr>
          <w:rFonts w:ascii="Arial" w:hAnsi="Arial" w:cs="Arial"/>
          <w:sz w:val="20"/>
          <w:szCs w:val="20"/>
        </w:rPr>
      </w:pPr>
    </w:p>
    <w:p w:rsidR="002726F2" w:rsidRDefault="002726F2" w:rsidP="002726F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64. Цели комплексного развития территории</w:t>
      </w:r>
    </w:p>
    <w:p w:rsidR="002726F2" w:rsidRDefault="002726F2" w:rsidP="002726F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2726F2" w:rsidRDefault="002726F2" w:rsidP="002726F2">
      <w:pPr>
        <w:autoSpaceDE w:val="0"/>
        <w:autoSpaceDN w:val="0"/>
        <w:adjustRightInd w:val="0"/>
        <w:spacing w:after="0" w:line="240" w:lineRule="auto"/>
        <w:jc w:val="both"/>
        <w:rPr>
          <w:rFonts w:ascii="Arial" w:hAnsi="Arial" w:cs="Arial"/>
          <w:sz w:val="20"/>
          <w:szCs w:val="20"/>
        </w:rPr>
      </w:pPr>
    </w:p>
    <w:p w:rsidR="002726F2" w:rsidRDefault="002726F2" w:rsidP="002726F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Целями комплексного развития территории являются:</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обеспечение сбалансированного и устойчивого развития поселений,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создание необходимых условий для развития транспортной, социальной, инженерной инфраструктур, благоустройства территорий поселений, городских округов, повышения территориальной доступности таких инфраструктур;</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повышение эффективности использования территорий поселений, городских округов, в том числе формирование комфортной городской среды, создание мест обслуживания и мест приложения труда;</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создание условий для привлечения внебюджетных источников финансирования обновления застроенных территорий.</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rsidR="002726F2" w:rsidRDefault="002726F2" w:rsidP="002726F2">
      <w:pPr>
        <w:autoSpaceDE w:val="0"/>
        <w:autoSpaceDN w:val="0"/>
        <w:adjustRightInd w:val="0"/>
        <w:spacing w:after="0" w:line="240" w:lineRule="auto"/>
        <w:jc w:val="both"/>
        <w:rPr>
          <w:rFonts w:ascii="Arial" w:hAnsi="Arial" w:cs="Arial"/>
          <w:sz w:val="20"/>
          <w:szCs w:val="20"/>
        </w:rPr>
      </w:pPr>
    </w:p>
    <w:p w:rsidR="002726F2" w:rsidRDefault="002726F2" w:rsidP="002726F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65. Виды комплексного развития территории</w:t>
      </w:r>
    </w:p>
    <w:p w:rsidR="002726F2" w:rsidRDefault="002726F2" w:rsidP="002726F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2726F2" w:rsidRDefault="002726F2" w:rsidP="002726F2">
      <w:pPr>
        <w:autoSpaceDE w:val="0"/>
        <w:autoSpaceDN w:val="0"/>
        <w:adjustRightInd w:val="0"/>
        <w:spacing w:after="0" w:line="240" w:lineRule="auto"/>
        <w:jc w:val="both"/>
        <w:rPr>
          <w:rFonts w:ascii="Arial" w:hAnsi="Arial" w:cs="Arial"/>
          <w:sz w:val="20"/>
          <w:szCs w:val="20"/>
        </w:rPr>
      </w:pPr>
    </w:p>
    <w:p w:rsidR="002726F2" w:rsidRDefault="002726F2" w:rsidP="002726F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Виды комплексного развития территории: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указанные в </w:t>
      </w:r>
      <w:hyperlink w:anchor="Par22" w:history="1">
        <w:r>
          <w:rPr>
            <w:rFonts w:ascii="Arial" w:hAnsi="Arial" w:cs="Arial"/>
            <w:color w:val="0000FF"/>
            <w:sz w:val="20"/>
            <w:szCs w:val="20"/>
          </w:rPr>
          <w:t>части 2</w:t>
        </w:r>
      </w:hyperlink>
      <w:r>
        <w:rPr>
          <w:rFonts w:ascii="Arial" w:hAnsi="Arial" w:cs="Arial"/>
          <w:sz w:val="20"/>
          <w:szCs w:val="20"/>
        </w:rPr>
        <w:t xml:space="preserve"> настоящей статьи (далее - комплексное развитие территории жилой застройки);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w:anchor="Par31" w:history="1">
        <w:r>
          <w:rPr>
            <w:rFonts w:ascii="Arial" w:hAnsi="Arial" w:cs="Arial"/>
            <w:color w:val="0000FF"/>
            <w:sz w:val="20"/>
            <w:szCs w:val="20"/>
          </w:rPr>
          <w:t>части 4</w:t>
        </w:r>
      </w:hyperlink>
      <w:r>
        <w:rPr>
          <w:rFonts w:ascii="Arial" w:hAnsi="Arial" w:cs="Arial"/>
          <w:sz w:val="20"/>
          <w:szCs w:val="20"/>
        </w:rPr>
        <w:t xml:space="preserve"> настоящей статьи (далее - комплексное развитие территории нежилой застройки);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комплексное развитие территории, осуществляемое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(далее - комплексное развитие незастроенной территории);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1" w:name="Par22"/>
      <w:bookmarkEnd w:id="1"/>
      <w:r>
        <w:rPr>
          <w:rFonts w:ascii="Arial" w:hAnsi="Arial" w:cs="Arial"/>
          <w:sz w:val="20"/>
          <w:szCs w:val="20"/>
        </w:rPr>
        <w:t>2. Комплексное развитие территории жилой застройки осуществляется в отношении застроенной территории, в границах которой расположены:</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многоквартирные дома, признанные </w:t>
      </w:r>
      <w:hyperlink r:id="rId7" w:history="1">
        <w:r>
          <w:rPr>
            <w:rFonts w:ascii="Arial" w:hAnsi="Arial" w:cs="Arial"/>
            <w:color w:val="0000FF"/>
            <w:sz w:val="20"/>
            <w:szCs w:val="20"/>
          </w:rPr>
          <w:t>аварийными</w:t>
        </w:r>
      </w:hyperlink>
      <w:r>
        <w:rPr>
          <w:rFonts w:ascii="Arial" w:hAnsi="Arial" w:cs="Arial"/>
          <w:sz w:val="20"/>
          <w:szCs w:val="20"/>
        </w:rPr>
        <w:t xml:space="preserve"> и подлежащими сносу или реконструкции;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2" w:name="Par24"/>
      <w:bookmarkEnd w:id="2"/>
      <w:r>
        <w:rPr>
          <w:rFonts w:ascii="Arial" w:hAnsi="Arial" w:cs="Arial"/>
          <w:sz w:val="20"/>
          <w:szCs w:val="20"/>
        </w:rPr>
        <w:lastRenderedPageBreak/>
        <w:t>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многоквартирные дома находятся в ограниченно работоспособном техническом состоянии. </w:t>
      </w:r>
      <w:hyperlink r:id="rId8" w:history="1">
        <w:r>
          <w:rPr>
            <w:rFonts w:ascii="Arial" w:hAnsi="Arial" w:cs="Arial"/>
            <w:color w:val="0000FF"/>
            <w:sz w:val="20"/>
            <w:szCs w:val="20"/>
          </w:rPr>
          <w:t>Порядок</w:t>
        </w:r>
      </w:hyperlink>
      <w:r>
        <w:rPr>
          <w:rFonts w:ascii="Arial" w:hAnsi="Arial" w:cs="Arial"/>
          <w:sz w:val="20"/>
          <w:szCs w:val="20"/>
        </w:rPr>
        <w:t xml:space="preserve">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w:t>
      </w:r>
      <w:hyperlink w:anchor="Par22" w:history="1">
        <w:r>
          <w:rPr>
            <w:rFonts w:ascii="Arial" w:hAnsi="Arial" w:cs="Arial"/>
            <w:color w:val="0000FF"/>
            <w:sz w:val="20"/>
            <w:szCs w:val="20"/>
          </w:rPr>
          <w:t>части 2</w:t>
        </w:r>
      </w:hyperlink>
      <w:r>
        <w:rPr>
          <w:rFonts w:ascii="Arial" w:hAnsi="Arial" w:cs="Arial"/>
          <w:sz w:val="20"/>
          <w:szCs w:val="20"/>
        </w:rPr>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городского округа (за исключением района), в котором расположены многоквартирные дома, указанные в </w:t>
      </w:r>
      <w:hyperlink w:anchor="Par22" w:history="1">
        <w:r>
          <w:rPr>
            <w:rFonts w:ascii="Arial" w:hAnsi="Arial" w:cs="Arial"/>
            <w:color w:val="0000FF"/>
            <w:sz w:val="20"/>
            <w:szCs w:val="20"/>
          </w:rPr>
          <w:t>части 2</w:t>
        </w:r>
      </w:hyperlink>
      <w:r>
        <w:rPr>
          <w:rFonts w:ascii="Arial" w:hAnsi="Arial" w:cs="Arial"/>
          <w:sz w:val="20"/>
          <w:szCs w:val="20"/>
        </w:rPr>
        <w:t xml:space="preserve"> настоящей статьи.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3" w:name="Par31"/>
      <w:bookmarkEnd w:id="3"/>
      <w:r>
        <w:rPr>
          <w:rFonts w:ascii="Arial" w:hAnsi="Arial" w:cs="Arial"/>
          <w:sz w:val="20"/>
          <w:szCs w:val="20"/>
        </w:rPr>
        <w:t>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органом исполнительной власти субъекта Российской Федерации;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anchor="Par31" w:history="1">
        <w:r>
          <w:rPr>
            <w:rFonts w:ascii="Arial" w:hAnsi="Arial" w:cs="Arial"/>
            <w:color w:val="0000FF"/>
            <w:sz w:val="20"/>
            <w:szCs w:val="20"/>
          </w:rPr>
          <w:t>части 4</w:t>
        </w:r>
      </w:hyperlink>
      <w:r>
        <w:rPr>
          <w:rFonts w:ascii="Arial" w:hAnsi="Arial" w:cs="Arial"/>
          <w:sz w:val="20"/>
          <w:szCs w:val="20"/>
        </w:rP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anchor="Par31" w:history="1">
        <w:r>
          <w:rPr>
            <w:rFonts w:ascii="Arial" w:hAnsi="Arial" w:cs="Arial"/>
            <w:color w:val="0000FF"/>
            <w:sz w:val="20"/>
            <w:szCs w:val="20"/>
          </w:rPr>
          <w:t>частью 4</w:t>
        </w:r>
      </w:hyperlink>
      <w:r>
        <w:rPr>
          <w:rFonts w:ascii="Arial" w:hAnsi="Arial" w:cs="Arial"/>
          <w:sz w:val="20"/>
          <w:szCs w:val="20"/>
        </w:rPr>
        <w:t xml:space="preserve"> настоящей статьи.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w:t>
      </w:r>
      <w:r>
        <w:rPr>
          <w:rFonts w:ascii="Arial" w:hAnsi="Arial" w:cs="Arial"/>
          <w:sz w:val="20"/>
          <w:szCs w:val="20"/>
        </w:rPr>
        <w:lastRenderedPageBreak/>
        <w:t>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p>
    <w:p w:rsidR="002726F2" w:rsidRDefault="002726F2" w:rsidP="002726F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 w:history="1">
        <w:r>
          <w:rPr>
            <w:rFonts w:ascii="Arial" w:hAnsi="Arial" w:cs="Arial"/>
            <w:color w:val="0000FF"/>
            <w:sz w:val="20"/>
            <w:szCs w:val="20"/>
          </w:rPr>
          <w:t>закона</w:t>
        </w:r>
      </w:hyperlink>
      <w:r>
        <w:rPr>
          <w:rFonts w:ascii="Arial" w:hAnsi="Arial" w:cs="Arial"/>
          <w:sz w:val="20"/>
          <w:szCs w:val="20"/>
        </w:rPr>
        <w:t xml:space="preserve"> от 30.12.2021 N 476-ФЗ)</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с федеральными органами исполнительной власти, иными организациями, которым в соответствии с федеральными законами и решениями Правительства Российской Федерации предоставлены полномочия по распоряжению указанными земельными участками. Порядок данного согласования устанавливается Правительством Российской Федерации;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земельные участки с расположенными на них многоквартирными домами, не предусмотренными </w:t>
      </w:r>
      <w:hyperlink w:anchor="Par24" w:history="1">
        <w:r>
          <w:rPr>
            <w:rFonts w:ascii="Arial" w:hAnsi="Arial" w:cs="Arial"/>
            <w:color w:val="0000FF"/>
            <w:sz w:val="20"/>
            <w:szCs w:val="20"/>
          </w:rPr>
          <w:t>пунктом 2 части 2</w:t>
        </w:r>
      </w:hyperlink>
      <w:r>
        <w:rPr>
          <w:rFonts w:ascii="Arial" w:hAnsi="Arial" w:cs="Arial"/>
          <w:sz w:val="20"/>
          <w:szCs w:val="20"/>
        </w:rPr>
        <w:t xml:space="preserve"> настоящей статьи, а также жилые помещения в таких многоквартирных домах;</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rsidR="002726F2" w:rsidRDefault="002726F2" w:rsidP="002726F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 w:history="1">
        <w:r>
          <w:rPr>
            <w:rFonts w:ascii="Arial" w:hAnsi="Arial" w:cs="Arial"/>
            <w:color w:val="0000FF"/>
            <w:sz w:val="20"/>
            <w:szCs w:val="20"/>
          </w:rPr>
          <w:t>закона</w:t>
        </w:r>
      </w:hyperlink>
      <w:r>
        <w:rPr>
          <w:rFonts w:ascii="Arial" w:hAnsi="Arial" w:cs="Arial"/>
          <w:sz w:val="20"/>
          <w:szCs w:val="20"/>
        </w:rPr>
        <w:t xml:space="preserve"> от 30.12.2021 N 476-ФЗ)</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Включение в границы территории, в отношении которой решение о ее комплексном развитии принимается высшим исполнительным органом государственной власти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статьей. Включение в границы указанной территории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установленном Правительством Российской Федерации.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Реализация комплексного развития территории по инициативе правообладателей осуществляется в соответствии со </w:t>
      </w:r>
      <w:hyperlink w:anchor="Par178" w:history="1">
        <w:r>
          <w:rPr>
            <w:rFonts w:ascii="Arial" w:hAnsi="Arial" w:cs="Arial"/>
            <w:color w:val="0000FF"/>
            <w:sz w:val="20"/>
            <w:szCs w:val="20"/>
          </w:rPr>
          <w:t>статьей 70</w:t>
        </w:r>
      </w:hyperlink>
      <w:r>
        <w:rPr>
          <w:rFonts w:ascii="Arial" w:hAnsi="Arial" w:cs="Arial"/>
          <w:sz w:val="20"/>
          <w:szCs w:val="20"/>
        </w:rPr>
        <w:t xml:space="preserve"> настоящего Кодекса.</w:t>
      </w:r>
    </w:p>
    <w:p w:rsidR="002726F2" w:rsidRDefault="002726F2" w:rsidP="002726F2">
      <w:pPr>
        <w:autoSpaceDE w:val="0"/>
        <w:autoSpaceDN w:val="0"/>
        <w:adjustRightInd w:val="0"/>
        <w:spacing w:after="0" w:line="240" w:lineRule="auto"/>
        <w:jc w:val="both"/>
        <w:rPr>
          <w:rFonts w:ascii="Arial" w:hAnsi="Arial" w:cs="Arial"/>
          <w:sz w:val="20"/>
          <w:szCs w:val="20"/>
        </w:rPr>
      </w:pPr>
    </w:p>
    <w:p w:rsidR="002726F2" w:rsidRDefault="002726F2" w:rsidP="002726F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66. Порядок принятия и реализации решения о комплексном развитии территории</w:t>
      </w:r>
    </w:p>
    <w:p w:rsidR="002726F2" w:rsidRDefault="002726F2" w:rsidP="002726F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2726F2" w:rsidRDefault="002726F2" w:rsidP="002726F2">
      <w:pPr>
        <w:autoSpaceDE w:val="0"/>
        <w:autoSpaceDN w:val="0"/>
        <w:adjustRightInd w:val="0"/>
        <w:spacing w:after="0" w:line="240" w:lineRule="auto"/>
        <w:jc w:val="both"/>
        <w:rPr>
          <w:rFonts w:ascii="Arial" w:hAnsi="Arial" w:cs="Arial"/>
          <w:sz w:val="20"/>
          <w:szCs w:val="20"/>
        </w:rPr>
      </w:pPr>
    </w:p>
    <w:p w:rsidR="002726F2" w:rsidRDefault="002726F2" w:rsidP="002726F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w:t>
      </w:r>
      <w:r>
        <w:rPr>
          <w:rFonts w:ascii="Arial" w:hAnsi="Arial" w:cs="Arial"/>
          <w:sz w:val="20"/>
          <w:szCs w:val="20"/>
        </w:rPr>
        <w:lastRenderedPageBreak/>
        <w:t>Федерацией или субъектом Российской Федерации), или лицами, с которыми заключены договоры о комплексном развитии территории.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 о комплексном развитии территории принимается:</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4" w:name="Par55"/>
      <w:bookmarkEnd w:id="4"/>
      <w:r>
        <w:rPr>
          <w:rFonts w:ascii="Arial" w:hAnsi="Arial" w:cs="Arial"/>
          <w:sz w:val="20"/>
          <w:szCs w:val="20"/>
        </w:rPr>
        <w:t xml:space="preserve">1) Правительством Российской Федерации в установленном им </w:t>
      </w:r>
      <w:hyperlink r:id="rId12" w:history="1">
        <w:r>
          <w:rPr>
            <w:rFonts w:ascii="Arial" w:hAnsi="Arial" w:cs="Arial"/>
            <w:color w:val="0000FF"/>
            <w:sz w:val="20"/>
            <w:szCs w:val="20"/>
          </w:rPr>
          <w:t>порядке</w:t>
        </w:r>
      </w:hyperlink>
      <w:r>
        <w:rPr>
          <w:rFonts w:ascii="Arial" w:hAnsi="Arial" w:cs="Arial"/>
          <w:sz w:val="20"/>
          <w:szCs w:val="20"/>
        </w:rPr>
        <w:t xml:space="preserve"> в одном из следующих случаев:</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реализация решения о комплексном развитии территории будет осуществляться юридическим лицом, определенным Российской Федерацией;</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5" w:name="Par59"/>
      <w:bookmarkEnd w:id="5"/>
      <w:r>
        <w:rPr>
          <w:rFonts w:ascii="Arial" w:hAnsi="Arial" w:cs="Arial"/>
          <w:sz w:val="20"/>
          <w:szCs w:val="20"/>
        </w:rPr>
        <w:t>2) высшим исполнительным органом государственной власти субъекта Российской Федерации в одном из следующих случаев:</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реализация решения о комплексном развитии территории будет осуществляться юридическим лицом, определенным субъектом Российской Федерации;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территория, подлежащая комплексному развитию, расположена в границах двух и более муниципальных образований;</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6" w:name="Par63"/>
      <w:bookmarkEnd w:id="6"/>
      <w:r>
        <w:rPr>
          <w:rFonts w:ascii="Arial" w:hAnsi="Arial" w:cs="Arial"/>
          <w:sz w:val="20"/>
          <w:szCs w:val="20"/>
        </w:rPr>
        <w:t xml:space="preserve">3) главой местной администрации в случаях, не предусмотренных </w:t>
      </w:r>
      <w:hyperlink w:anchor="Par55" w:history="1">
        <w:r>
          <w:rPr>
            <w:rFonts w:ascii="Arial" w:hAnsi="Arial" w:cs="Arial"/>
            <w:color w:val="0000FF"/>
            <w:sz w:val="20"/>
            <w:szCs w:val="20"/>
          </w:rPr>
          <w:t>пунктами 1</w:t>
        </w:r>
      </w:hyperlink>
      <w:r>
        <w:rPr>
          <w:rFonts w:ascii="Arial" w:hAnsi="Arial" w:cs="Arial"/>
          <w:sz w:val="20"/>
          <w:szCs w:val="20"/>
        </w:rPr>
        <w:t xml:space="preserve"> и </w:t>
      </w:r>
      <w:hyperlink w:anchor="Par59" w:history="1">
        <w:r>
          <w:rPr>
            <w:rFonts w:ascii="Arial" w:hAnsi="Arial" w:cs="Arial"/>
            <w:color w:val="0000FF"/>
            <w:sz w:val="20"/>
            <w:szCs w:val="20"/>
          </w:rPr>
          <w:t>2</w:t>
        </w:r>
      </w:hyperlink>
      <w:r>
        <w:rPr>
          <w:rFonts w:ascii="Arial" w:hAnsi="Arial" w:cs="Arial"/>
          <w:sz w:val="20"/>
          <w:szCs w:val="20"/>
        </w:rPr>
        <w:t xml:space="preserve"> настоящей части.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Решение о комплексном развитии территории, указанное в </w:t>
      </w:r>
      <w:hyperlink w:anchor="Par55" w:history="1">
        <w:r>
          <w:rPr>
            <w:rFonts w:ascii="Arial" w:hAnsi="Arial" w:cs="Arial"/>
            <w:color w:val="0000FF"/>
            <w:sz w:val="20"/>
            <w:szCs w:val="20"/>
          </w:rPr>
          <w:t>пункте 1 части 2</w:t>
        </w:r>
      </w:hyperlink>
      <w:r>
        <w:rPr>
          <w:rFonts w:ascii="Arial" w:hAnsi="Arial" w:cs="Arial"/>
          <w:sz w:val="20"/>
          <w:szCs w:val="20"/>
        </w:rPr>
        <w:t xml:space="preserve"> настоящей статьи, может быть принято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w:t>
      </w:r>
      <w:hyperlink w:anchor="Par55" w:history="1">
        <w:r>
          <w:rPr>
            <w:rFonts w:ascii="Arial" w:hAnsi="Arial" w:cs="Arial"/>
            <w:color w:val="0000FF"/>
            <w:sz w:val="20"/>
            <w:szCs w:val="20"/>
          </w:rPr>
          <w:t>пункте 1 части 2</w:t>
        </w:r>
      </w:hyperlink>
      <w:r>
        <w:rPr>
          <w:rFonts w:ascii="Arial" w:hAnsi="Arial" w:cs="Arial"/>
          <w:sz w:val="20"/>
          <w:szCs w:val="20"/>
        </w:rPr>
        <w:t xml:space="preserve">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w:t>
      </w:r>
      <w:hyperlink r:id="rId13"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государственной власти субъекта Российской Федерации предложения о согласовании этого решения.</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органом исполнительной власти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орган исполнительной власти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целях принятия и реализации решения о комплексном развитии территории жилой застройки в случаях, указанных в </w:t>
      </w:r>
      <w:hyperlink w:anchor="Par59" w:history="1">
        <w:r>
          <w:rPr>
            <w:rFonts w:ascii="Arial" w:hAnsi="Arial" w:cs="Arial"/>
            <w:color w:val="0000FF"/>
            <w:sz w:val="20"/>
            <w:szCs w:val="20"/>
          </w:rPr>
          <w:t>пунктах 2</w:t>
        </w:r>
      </w:hyperlink>
      <w:r>
        <w:rPr>
          <w:rFonts w:ascii="Arial" w:hAnsi="Arial" w:cs="Arial"/>
          <w:sz w:val="20"/>
          <w:szCs w:val="20"/>
        </w:rPr>
        <w:t xml:space="preserve"> и </w:t>
      </w:r>
      <w:hyperlink w:anchor="Par63" w:history="1">
        <w:r>
          <w:rPr>
            <w:rFonts w:ascii="Arial" w:hAnsi="Arial" w:cs="Arial"/>
            <w:color w:val="0000FF"/>
            <w:sz w:val="20"/>
            <w:szCs w:val="20"/>
          </w:rPr>
          <w:t>3 части 2</w:t>
        </w:r>
      </w:hyperlink>
      <w:r>
        <w:rPr>
          <w:rFonts w:ascii="Arial" w:hAnsi="Arial" w:cs="Arial"/>
          <w:sz w:val="20"/>
          <w:szCs w:val="20"/>
        </w:rP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порядок реализации решения о комплексном развитии территории;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определения границ территории, подлежащей комплексному развитию;</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иные требования к комплексному развитию территории, устанавливаемые в соответствии с настоящим Кодексом.</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Процедура принятия и реализации решения о комплексном развитии территории жилой застройки состоит из следующих этапов:</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подготовка проекта решения о комплексном развитии территории жилой застройки и его согласование в случаях, установленных настоящим Кодексом;</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определение этапов реализации решения о комплексном развитии территории жилой застройки с указанием очередности сноса или реконструкции многоквартирных домов, включенных в это решение;</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Процедура принятия и реализации решения о комплексном развитии территории нежилой застройки состоит из следующих этапов:</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подготовка проекта решения о комплексном развитии территории нежилой застройки и его согласование в случаях, установленных настоящим Кодексом;</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7" w:name="Par82"/>
      <w:bookmarkEnd w:id="7"/>
      <w:r>
        <w:rPr>
          <w:rFonts w:ascii="Arial" w:hAnsi="Arial" w:cs="Arial"/>
          <w:sz w:val="20"/>
          <w:szCs w:val="20"/>
        </w:rPr>
        <w:t>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а также направление уполномоченным органом предложения о заключении договора о комплексном развитии территории нежилой застройки всем правообладателям объектов недвижимого имущества, расположенных в границах такой территории;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8" w:name="Par83"/>
      <w:bookmarkEnd w:id="8"/>
      <w:r>
        <w:rPr>
          <w:rFonts w:ascii="Arial" w:hAnsi="Arial" w:cs="Arial"/>
          <w:sz w:val="20"/>
          <w:szCs w:val="20"/>
        </w:rPr>
        <w:t>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9" w:name="Par84"/>
      <w:bookmarkEnd w:id="9"/>
      <w:r>
        <w:rPr>
          <w:rFonts w:ascii="Arial" w:hAnsi="Arial" w:cs="Arial"/>
          <w:sz w:val="20"/>
          <w:szCs w:val="20"/>
        </w:rPr>
        <w:lastRenderedPageBreak/>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расположенных в границах территории, в отношении которой подготовлен проект решения о комплексном развитии нежилой территории,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anchor="Par186" w:history="1">
        <w:r>
          <w:rPr>
            <w:rFonts w:ascii="Arial" w:hAnsi="Arial" w:cs="Arial"/>
            <w:color w:val="0000FF"/>
            <w:sz w:val="20"/>
            <w:szCs w:val="20"/>
          </w:rPr>
          <w:t>частями 6</w:t>
        </w:r>
      </w:hyperlink>
      <w:r>
        <w:rPr>
          <w:rFonts w:ascii="Arial" w:hAnsi="Arial" w:cs="Arial"/>
          <w:sz w:val="20"/>
          <w:szCs w:val="20"/>
        </w:rPr>
        <w:t xml:space="preserve"> и </w:t>
      </w:r>
      <w:hyperlink w:anchor="Par192" w:history="1">
        <w:r>
          <w:rPr>
            <w:rFonts w:ascii="Arial" w:hAnsi="Arial" w:cs="Arial"/>
            <w:color w:val="0000FF"/>
            <w:sz w:val="20"/>
            <w:szCs w:val="20"/>
          </w:rPr>
          <w:t>7 статьи 70</w:t>
        </w:r>
      </w:hyperlink>
      <w:r>
        <w:rPr>
          <w:rFonts w:ascii="Arial" w:hAnsi="Arial" w:cs="Arial"/>
          <w:sz w:val="20"/>
          <w:szCs w:val="20"/>
        </w:rPr>
        <w:t xml:space="preserve"> настоящего Кодекса;</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anchor="Par84" w:history="1">
        <w:r>
          <w:rPr>
            <w:rFonts w:ascii="Arial" w:hAnsi="Arial" w:cs="Arial"/>
            <w:color w:val="0000FF"/>
            <w:sz w:val="20"/>
            <w:szCs w:val="20"/>
          </w:rPr>
          <w:t>пунктом 4</w:t>
        </w:r>
      </w:hyperlink>
      <w:r>
        <w:rPr>
          <w:rFonts w:ascii="Arial" w:hAnsi="Arial" w:cs="Arial"/>
          <w:sz w:val="20"/>
          <w:szCs w:val="20"/>
        </w:rPr>
        <w:t xml:space="preserve"> настоящей части);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Процедура принятия и реализации решения о комплексном развитии незастроенной территории состоит из следующих этапов:</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юридическими лицами, определенными Российской Федерацией или субъектом Российской Федерации);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юридическими лицами, определенными Российской Федерацией или субъектом Российской Федерации);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10" w:name="Par93"/>
      <w:bookmarkEnd w:id="10"/>
      <w:r>
        <w:rPr>
          <w:rFonts w:ascii="Arial" w:hAnsi="Arial" w:cs="Arial"/>
          <w:sz w:val="20"/>
          <w:szCs w:val="20"/>
        </w:rPr>
        <w:t>4) предоставление земельного участка или земельных участков в аренду без торгов в целях реализации договора о комплексном развитии незастроенной территории лицу, с которым заключен такой договор;</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незастроенной территории, в том числе по предоставлению необходимых </w:t>
      </w:r>
      <w:r>
        <w:rPr>
          <w:rFonts w:ascii="Arial" w:hAnsi="Arial" w:cs="Arial"/>
          <w:sz w:val="20"/>
          <w:szCs w:val="20"/>
        </w:rPr>
        <w:lastRenderedPageBreak/>
        <w:t xml:space="preserve">для этих целей земельных участков, образованных из земельного участка или земельных участков, указанных в </w:t>
      </w:r>
      <w:hyperlink w:anchor="Par93" w:history="1">
        <w:r>
          <w:rPr>
            <w:rFonts w:ascii="Arial" w:hAnsi="Arial" w:cs="Arial"/>
            <w:color w:val="0000FF"/>
            <w:sz w:val="20"/>
            <w:szCs w:val="20"/>
          </w:rPr>
          <w:t>пункте 4</w:t>
        </w:r>
      </w:hyperlink>
      <w:r>
        <w:rPr>
          <w:rFonts w:ascii="Arial" w:hAnsi="Arial" w:cs="Arial"/>
          <w:sz w:val="20"/>
          <w:szCs w:val="20"/>
        </w:rPr>
        <w:t xml:space="preserve"> настоящей части.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2726F2" w:rsidRDefault="002726F2" w:rsidP="002726F2">
      <w:pPr>
        <w:autoSpaceDE w:val="0"/>
        <w:autoSpaceDN w:val="0"/>
        <w:adjustRightInd w:val="0"/>
        <w:spacing w:after="0" w:line="240" w:lineRule="auto"/>
        <w:jc w:val="both"/>
        <w:rPr>
          <w:rFonts w:ascii="Arial" w:hAnsi="Arial" w:cs="Arial"/>
          <w:sz w:val="20"/>
          <w:szCs w:val="20"/>
        </w:rPr>
      </w:pPr>
    </w:p>
    <w:p w:rsidR="002726F2" w:rsidRDefault="002726F2" w:rsidP="002726F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67. Решение о комплексном развитии территории</w:t>
      </w:r>
    </w:p>
    <w:p w:rsidR="002726F2" w:rsidRDefault="002726F2" w:rsidP="002726F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2726F2" w:rsidRDefault="002726F2" w:rsidP="002726F2">
      <w:pPr>
        <w:autoSpaceDE w:val="0"/>
        <w:autoSpaceDN w:val="0"/>
        <w:adjustRightInd w:val="0"/>
        <w:spacing w:after="0" w:line="240" w:lineRule="auto"/>
        <w:jc w:val="both"/>
        <w:rPr>
          <w:rFonts w:ascii="Arial" w:hAnsi="Arial" w:cs="Arial"/>
          <w:sz w:val="20"/>
          <w:szCs w:val="20"/>
        </w:rPr>
      </w:pPr>
    </w:p>
    <w:p w:rsidR="002726F2" w:rsidRDefault="002726F2" w:rsidP="002726F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решение о комплексном развитии территории включаются:</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сведения о местоположении, площади и границах территории, подлежащей комплексному развитию;</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предельный срок реализации решения о комплексном развитии территории;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r:id="rId15" w:history="1">
        <w:r>
          <w:rPr>
            <w:rFonts w:ascii="Arial" w:hAnsi="Arial" w:cs="Arial"/>
            <w:color w:val="0000FF"/>
            <w:sz w:val="20"/>
            <w:szCs w:val="20"/>
          </w:rPr>
          <w:t>частью 3.4 статьи 33</w:t>
        </w:r>
      </w:hyperlink>
      <w:r>
        <w:rPr>
          <w:rFonts w:ascii="Arial" w:hAnsi="Arial" w:cs="Arial"/>
          <w:sz w:val="20"/>
          <w:szCs w:val="20"/>
        </w:rPr>
        <w:t xml:space="preserve"> настоящего Кодекса;</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иные сведения, определенные Правительством Российской Федерации, нормативным правовым актом высшего исполнительного органа государственной власти субъекта Российской Федерации.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hyperlink r:id="rId16" w:history="1">
        <w:r>
          <w:rPr>
            <w:rFonts w:ascii="Arial" w:hAnsi="Arial" w:cs="Arial"/>
            <w:color w:val="0000FF"/>
            <w:sz w:val="20"/>
            <w:szCs w:val="20"/>
          </w:rPr>
          <w:t>условиям</w:t>
        </w:r>
      </w:hyperlink>
      <w:r>
        <w:rPr>
          <w:rFonts w:ascii="Arial" w:hAnsi="Arial" w:cs="Arial"/>
          <w:sz w:val="20"/>
          <w:szCs w:val="20"/>
        </w:rP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Проект решения о комплексном развитии территории жилой застройки подлежит размещению:</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 официальном сайте высшего исполнительного органа государственной власти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11" w:name="Par114"/>
      <w:bookmarkEnd w:id="11"/>
      <w:r>
        <w:rPr>
          <w:rFonts w:ascii="Arial" w:hAnsi="Arial" w:cs="Arial"/>
          <w:sz w:val="20"/>
          <w:szCs w:val="20"/>
        </w:rPr>
        <w:t xml:space="preserve">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hyperlink w:anchor="Par24" w:history="1">
        <w:r>
          <w:rPr>
            <w:rFonts w:ascii="Arial" w:hAnsi="Arial" w:cs="Arial"/>
            <w:color w:val="0000FF"/>
            <w:sz w:val="20"/>
            <w:szCs w:val="20"/>
          </w:rPr>
          <w:t>пунктом 2 части 2 статьи 65</w:t>
        </w:r>
      </w:hyperlink>
      <w:r>
        <w:rPr>
          <w:rFonts w:ascii="Arial" w:hAnsi="Arial" w:cs="Arial"/>
          <w:sz w:val="20"/>
          <w:szCs w:val="20"/>
        </w:rPr>
        <w:t xml:space="preserve"> настоящего Кодекса.</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12" w:name="Par115"/>
      <w:bookmarkEnd w:id="12"/>
      <w:r>
        <w:rPr>
          <w:rFonts w:ascii="Arial" w:hAnsi="Arial" w:cs="Arial"/>
          <w:sz w:val="20"/>
          <w:szCs w:val="20"/>
        </w:rPr>
        <w:t xml:space="preserve">5. Указанные в </w:t>
      </w:r>
      <w:hyperlink w:anchor="Par114" w:history="1">
        <w:r>
          <w:rPr>
            <w:rFonts w:ascii="Arial" w:hAnsi="Arial" w:cs="Arial"/>
            <w:color w:val="0000FF"/>
            <w:sz w:val="20"/>
            <w:szCs w:val="20"/>
          </w:rPr>
          <w:t>части 4</w:t>
        </w:r>
      </w:hyperlink>
      <w:r>
        <w:rPr>
          <w:rFonts w:ascii="Arial" w:hAnsi="Arial" w:cs="Arial"/>
          <w:sz w:val="20"/>
          <w:szCs w:val="20"/>
        </w:rP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Исключение указанного в </w:t>
      </w:r>
      <w:hyperlink w:anchor="Par114" w:history="1">
        <w:r>
          <w:rPr>
            <w:rFonts w:ascii="Arial" w:hAnsi="Arial" w:cs="Arial"/>
            <w:color w:val="0000FF"/>
            <w:sz w:val="20"/>
            <w:szCs w:val="20"/>
          </w:rPr>
          <w:t>части 4</w:t>
        </w:r>
      </w:hyperlink>
      <w:r>
        <w:rPr>
          <w:rFonts w:ascii="Arial" w:hAnsi="Arial" w:cs="Arial"/>
          <w:sz w:val="20"/>
          <w:szCs w:val="20"/>
        </w:rP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anchor="Par115" w:history="1">
        <w:r>
          <w:rPr>
            <w:rFonts w:ascii="Arial" w:hAnsi="Arial" w:cs="Arial"/>
            <w:color w:val="0000FF"/>
            <w:sz w:val="20"/>
            <w:szCs w:val="20"/>
          </w:rPr>
          <w:t>частью 5</w:t>
        </w:r>
      </w:hyperlink>
      <w:r>
        <w:rPr>
          <w:rFonts w:ascii="Arial" w:hAnsi="Arial" w:cs="Arial"/>
          <w:sz w:val="20"/>
          <w:szCs w:val="20"/>
        </w:rP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rsidR="002726F2" w:rsidRDefault="002726F2" w:rsidP="002726F2">
      <w:pPr>
        <w:autoSpaceDE w:val="0"/>
        <w:autoSpaceDN w:val="0"/>
        <w:adjustRightInd w:val="0"/>
        <w:spacing w:after="0" w:line="240" w:lineRule="auto"/>
        <w:jc w:val="both"/>
        <w:rPr>
          <w:rFonts w:ascii="Arial" w:hAnsi="Arial" w:cs="Arial"/>
          <w:sz w:val="20"/>
          <w:szCs w:val="20"/>
        </w:rPr>
      </w:pPr>
    </w:p>
    <w:p w:rsidR="002726F2" w:rsidRDefault="002726F2" w:rsidP="002726F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 w:name="Par118"/>
      <w:bookmarkEnd w:id="13"/>
      <w:r>
        <w:rPr>
          <w:rFonts w:ascii="Arial" w:eastAsiaTheme="minorHAnsi" w:hAnsi="Arial" w:cs="Arial"/>
          <w:b/>
          <w:bCs/>
          <w:color w:val="auto"/>
          <w:sz w:val="20"/>
          <w:szCs w:val="20"/>
        </w:rPr>
        <w:t>Статья 68. Договор о комплексном развитии территории</w:t>
      </w:r>
    </w:p>
    <w:p w:rsidR="002726F2" w:rsidRDefault="002726F2" w:rsidP="002726F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7"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2726F2" w:rsidRDefault="002726F2" w:rsidP="002726F2">
      <w:pPr>
        <w:autoSpaceDE w:val="0"/>
        <w:autoSpaceDN w:val="0"/>
        <w:adjustRightInd w:val="0"/>
        <w:spacing w:after="0" w:line="240" w:lineRule="auto"/>
        <w:jc w:val="both"/>
        <w:rPr>
          <w:rFonts w:ascii="Arial" w:hAnsi="Arial" w:cs="Arial"/>
          <w:sz w:val="20"/>
          <w:szCs w:val="20"/>
        </w:rPr>
      </w:pPr>
    </w:p>
    <w:p w:rsidR="002726F2" w:rsidRDefault="002726F2" w:rsidP="002726F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anchor="Par156" w:history="1">
        <w:r>
          <w:rPr>
            <w:rFonts w:ascii="Arial" w:hAnsi="Arial" w:cs="Arial"/>
            <w:color w:val="0000FF"/>
            <w:sz w:val="20"/>
            <w:szCs w:val="20"/>
          </w:rPr>
          <w:t>статьей 69</w:t>
        </w:r>
      </w:hyperlink>
      <w:r>
        <w:rPr>
          <w:rFonts w:ascii="Arial" w:hAnsi="Arial" w:cs="Arial"/>
          <w:sz w:val="20"/>
          <w:szCs w:val="20"/>
        </w:rPr>
        <w:t xml:space="preserve">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anchor="Par83" w:history="1">
        <w:r>
          <w:rPr>
            <w:rFonts w:ascii="Arial" w:hAnsi="Arial" w:cs="Arial"/>
            <w:color w:val="0000FF"/>
            <w:sz w:val="20"/>
            <w:szCs w:val="20"/>
          </w:rPr>
          <w:t>пунктом 3 части 7 статьи 66</w:t>
        </w:r>
      </w:hyperlink>
      <w:r>
        <w:rPr>
          <w:rFonts w:ascii="Arial" w:hAnsi="Arial" w:cs="Arial"/>
          <w:sz w:val="20"/>
          <w:szCs w:val="20"/>
        </w:rPr>
        <w:t xml:space="preserve"> и со </w:t>
      </w:r>
      <w:hyperlink w:anchor="Par178" w:history="1">
        <w:r>
          <w:rPr>
            <w:rFonts w:ascii="Arial" w:hAnsi="Arial" w:cs="Arial"/>
            <w:color w:val="0000FF"/>
            <w:sz w:val="20"/>
            <w:szCs w:val="20"/>
          </w:rPr>
          <w:t>статьей 70</w:t>
        </w:r>
      </w:hyperlink>
      <w:r>
        <w:rPr>
          <w:rFonts w:ascii="Arial" w:hAnsi="Arial" w:cs="Arial"/>
          <w:sz w:val="20"/>
          <w:szCs w:val="20"/>
        </w:rPr>
        <w:t xml:space="preserve"> настоящего Кодекса.</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14" w:name="Par124"/>
      <w:bookmarkEnd w:id="14"/>
      <w:r>
        <w:rPr>
          <w:rFonts w:ascii="Arial" w:hAnsi="Arial" w:cs="Arial"/>
          <w:sz w:val="20"/>
          <w:szCs w:val="20"/>
        </w:rPr>
        <w:t>4. В договор о комплексном развитии территории включаются:</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сведения о местоположении, площади и границах территории комплексного развития;</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перечень выполняемых лицом, заключившим договор, видов работ по благоустройству территории, срок их выполнения;</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15" w:name="Par129"/>
      <w:bookmarkEnd w:id="15"/>
      <w:r>
        <w:rPr>
          <w:rFonts w:ascii="Arial" w:hAnsi="Arial" w:cs="Arial"/>
          <w:sz w:val="20"/>
          <w:szCs w:val="20"/>
        </w:rPr>
        <w:lastRenderedPageBreak/>
        <w:t>5) обязательство лица, заключившего договор,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16" w:name="Par130"/>
      <w:bookmarkEnd w:id="16"/>
      <w:r>
        <w:rPr>
          <w:rFonts w:ascii="Arial" w:hAnsi="Arial" w:cs="Arial"/>
          <w:sz w:val="20"/>
          <w:szCs w:val="20"/>
        </w:rPr>
        <w:t>6)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в соответствии с утвержденной документацией по планировке территории, определенные на основании этой документации этапы и максимальные сроки осуществления строительства, реконструкции объектов капитального строительства, а также очередность (этапность) осуществления мероприятий по комплексному развитию такой территории в отношении двух и более таких несмежных территорий или их частей в случае заключения договора в отношении таких несмежных территорий или их частей;</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17" w:name="Par131"/>
      <w:bookmarkEnd w:id="17"/>
      <w:r>
        <w:rPr>
          <w:rFonts w:ascii="Arial" w:hAnsi="Arial" w:cs="Arial"/>
          <w:sz w:val="20"/>
          <w:szCs w:val="20"/>
        </w:rPr>
        <w:t>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18" w:name="Par132"/>
      <w:bookmarkEnd w:id="18"/>
      <w:r>
        <w:rPr>
          <w:rFonts w:ascii="Arial" w:hAnsi="Arial" w:cs="Arial"/>
          <w:sz w:val="20"/>
          <w:szCs w:val="20"/>
        </w:rPr>
        <w:t>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19" w:name="Par133"/>
      <w:bookmarkEnd w:id="19"/>
      <w:r>
        <w:rPr>
          <w:rFonts w:ascii="Arial" w:hAnsi="Arial" w:cs="Arial"/>
          <w:sz w:val="20"/>
          <w:szCs w:val="20"/>
        </w:rP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r:id="rId18" w:history="1">
        <w:r>
          <w:rPr>
            <w:rFonts w:ascii="Arial" w:hAnsi="Arial" w:cs="Arial"/>
            <w:color w:val="0000FF"/>
            <w:sz w:val="20"/>
            <w:szCs w:val="20"/>
          </w:rPr>
          <w:t>статьей 32.1</w:t>
        </w:r>
      </w:hyperlink>
      <w:r>
        <w:rPr>
          <w:rFonts w:ascii="Arial" w:hAnsi="Arial" w:cs="Arial"/>
          <w:sz w:val="20"/>
          <w:szCs w:val="20"/>
        </w:rPr>
        <w:t xml:space="preserve"> Жилищного кодекса Российской Федерации;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20" w:name="Par134"/>
      <w:bookmarkEnd w:id="20"/>
      <w:r>
        <w:rPr>
          <w:rFonts w:ascii="Arial" w:hAnsi="Arial" w:cs="Arial"/>
          <w:sz w:val="20"/>
          <w:szCs w:val="20"/>
        </w:rP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anchor="Par129" w:history="1">
        <w:r>
          <w:rPr>
            <w:rFonts w:ascii="Arial" w:hAnsi="Arial" w:cs="Arial"/>
            <w:color w:val="0000FF"/>
            <w:sz w:val="20"/>
            <w:szCs w:val="20"/>
          </w:rPr>
          <w:t>пунктом 5</w:t>
        </w:r>
      </w:hyperlink>
      <w:r>
        <w:rPr>
          <w:rFonts w:ascii="Arial" w:hAnsi="Arial" w:cs="Arial"/>
          <w:sz w:val="20"/>
          <w:szCs w:val="20"/>
        </w:rP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21" w:name="Par135"/>
      <w:bookmarkEnd w:id="21"/>
      <w:r>
        <w:rPr>
          <w:rFonts w:ascii="Arial" w:hAnsi="Arial" w:cs="Arial"/>
          <w:sz w:val="20"/>
          <w:szCs w:val="20"/>
        </w:rPr>
        <w:t>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ответственность сторон за неисполнение или ненадлежащее исполнение договора;</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договоре наряду с указанными в </w:t>
      </w:r>
      <w:hyperlink w:anchor="Par124" w:history="1">
        <w:r>
          <w:rPr>
            <w:rFonts w:ascii="Arial" w:hAnsi="Arial" w:cs="Arial"/>
            <w:color w:val="0000FF"/>
            <w:sz w:val="20"/>
            <w:szCs w:val="20"/>
          </w:rPr>
          <w:t>части 4</w:t>
        </w:r>
      </w:hyperlink>
      <w:r>
        <w:rPr>
          <w:rFonts w:ascii="Arial" w:hAnsi="Arial" w:cs="Arial"/>
          <w:sz w:val="20"/>
          <w:szCs w:val="20"/>
        </w:rPr>
        <w:t xml:space="preserve"> настоящей статьи условиями могут быть предусмотрены иные условия, в том числе:</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22" w:name="Par139"/>
      <w:bookmarkEnd w:id="22"/>
      <w:r>
        <w:rPr>
          <w:rFonts w:ascii="Arial" w:hAnsi="Arial" w:cs="Arial"/>
          <w:sz w:val="20"/>
          <w:szCs w:val="20"/>
        </w:rPr>
        <w:t>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hyperlink w:anchor="Par139" w:history="1">
        <w:r>
          <w:rPr>
            <w:rFonts w:ascii="Arial" w:hAnsi="Arial" w:cs="Arial"/>
            <w:color w:val="0000FF"/>
            <w:sz w:val="20"/>
            <w:szCs w:val="20"/>
          </w:rPr>
          <w:t>пунктом 1</w:t>
        </w:r>
      </w:hyperlink>
      <w:r>
        <w:rPr>
          <w:rFonts w:ascii="Arial" w:hAnsi="Arial" w:cs="Arial"/>
          <w:sz w:val="20"/>
          <w:szCs w:val="20"/>
        </w:rPr>
        <w:t xml:space="preserve">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способы и размер обеспечения исполнения договора лицом, заключившим договор.</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23" w:name="Par142"/>
      <w:bookmarkEnd w:id="23"/>
      <w:r>
        <w:rPr>
          <w:rFonts w:ascii="Arial" w:hAnsi="Arial" w:cs="Arial"/>
          <w:sz w:val="20"/>
          <w:szCs w:val="20"/>
        </w:rPr>
        <w:t>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24" w:name="Par145"/>
      <w:bookmarkEnd w:id="24"/>
      <w:r>
        <w:rPr>
          <w:rFonts w:ascii="Arial" w:hAnsi="Arial" w:cs="Arial"/>
          <w:sz w:val="20"/>
          <w:szCs w:val="20"/>
        </w:rPr>
        <w:t>7. Договором о комплексном развитии территории может быть предусмотрена обязанность исполнительного органа государственной власти или органа местного самоуправления за свой счет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Лицо, заключившее договор, не вправе передавать свои права и обязанности, предусмотренные договором, иному лицу.</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25" w:name="Par149"/>
      <w:bookmarkEnd w:id="25"/>
      <w:r>
        <w:rPr>
          <w:rFonts w:ascii="Arial" w:hAnsi="Arial" w:cs="Arial"/>
          <w:sz w:val="20"/>
          <w:szCs w:val="20"/>
        </w:rPr>
        <w:t xml:space="preserve">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w:t>
      </w:r>
      <w:proofErr w:type="gramStart"/>
      <w:r>
        <w:rPr>
          <w:rFonts w:ascii="Arial" w:hAnsi="Arial" w:cs="Arial"/>
          <w:sz w:val="20"/>
          <w:szCs w:val="20"/>
        </w:rPr>
        <w:t>отвечает</w:t>
      </w:r>
      <w:proofErr w:type="gramEnd"/>
      <w:r>
        <w:rPr>
          <w:rFonts w:ascii="Arial" w:hAnsi="Arial" w:cs="Arial"/>
          <w:sz w:val="20"/>
          <w:szCs w:val="20"/>
        </w:rPr>
        <w:t xml:space="preserve"> как за свои собственные действия (бездействие).</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26" w:name="Par150"/>
      <w:bookmarkEnd w:id="26"/>
      <w:r>
        <w:rPr>
          <w:rFonts w:ascii="Arial" w:hAnsi="Arial" w:cs="Arial"/>
          <w:sz w:val="20"/>
          <w:szCs w:val="20"/>
        </w:rP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anchor="Par149" w:history="1">
        <w:r>
          <w:rPr>
            <w:rFonts w:ascii="Arial" w:hAnsi="Arial" w:cs="Arial"/>
            <w:color w:val="0000FF"/>
            <w:sz w:val="20"/>
            <w:szCs w:val="20"/>
          </w:rPr>
          <w:t>частью 11</w:t>
        </w:r>
      </w:hyperlink>
      <w:r>
        <w:rPr>
          <w:rFonts w:ascii="Arial" w:hAnsi="Arial" w:cs="Arial"/>
          <w:sz w:val="20"/>
          <w:szCs w:val="20"/>
        </w:rPr>
        <w:t xml:space="preserve"> настоящей статьи лицу или лицам без согласия арендодателя такого земельного участка на срок, не превышающий срок его аренды.</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В случае неисполнения или ненадлежащего исполнения обязательств, предусмотренных </w:t>
      </w:r>
      <w:hyperlink w:anchor="Par129" w:history="1">
        <w:r>
          <w:rPr>
            <w:rFonts w:ascii="Arial" w:hAnsi="Arial" w:cs="Arial"/>
            <w:color w:val="0000FF"/>
            <w:sz w:val="20"/>
            <w:szCs w:val="20"/>
          </w:rPr>
          <w:t>пунктами 5</w:t>
        </w:r>
      </w:hyperlink>
      <w:r>
        <w:rPr>
          <w:rFonts w:ascii="Arial" w:hAnsi="Arial" w:cs="Arial"/>
          <w:sz w:val="20"/>
          <w:szCs w:val="20"/>
        </w:rPr>
        <w:t xml:space="preserve">, </w:t>
      </w:r>
      <w:hyperlink w:anchor="Par130" w:history="1">
        <w:r>
          <w:rPr>
            <w:rFonts w:ascii="Arial" w:hAnsi="Arial" w:cs="Arial"/>
            <w:color w:val="0000FF"/>
            <w:sz w:val="20"/>
            <w:szCs w:val="20"/>
          </w:rPr>
          <w:t>6</w:t>
        </w:r>
      </w:hyperlink>
      <w:r>
        <w:rPr>
          <w:rFonts w:ascii="Arial" w:hAnsi="Arial" w:cs="Arial"/>
          <w:sz w:val="20"/>
          <w:szCs w:val="20"/>
        </w:rPr>
        <w:t xml:space="preserve"> и </w:t>
      </w:r>
      <w:hyperlink w:anchor="Par133" w:history="1">
        <w:r>
          <w:rPr>
            <w:rFonts w:ascii="Arial" w:hAnsi="Arial" w:cs="Arial"/>
            <w:color w:val="0000FF"/>
            <w:sz w:val="20"/>
            <w:szCs w:val="20"/>
          </w:rPr>
          <w:t>9 части 4</w:t>
        </w:r>
      </w:hyperlink>
      <w:r>
        <w:rPr>
          <w:rFonts w:ascii="Arial" w:hAnsi="Arial" w:cs="Arial"/>
          <w:sz w:val="20"/>
          <w:szCs w:val="20"/>
        </w:rPr>
        <w:t xml:space="preserve">, </w:t>
      </w:r>
      <w:hyperlink w:anchor="Par139" w:history="1">
        <w:r>
          <w:rPr>
            <w:rFonts w:ascii="Arial" w:hAnsi="Arial" w:cs="Arial"/>
            <w:color w:val="0000FF"/>
            <w:sz w:val="20"/>
            <w:szCs w:val="20"/>
          </w:rPr>
          <w:t>пунктом 1 части 5</w:t>
        </w:r>
      </w:hyperlink>
      <w:r>
        <w:rPr>
          <w:rFonts w:ascii="Arial" w:hAnsi="Arial" w:cs="Arial"/>
          <w:sz w:val="20"/>
          <w:szCs w:val="20"/>
        </w:rPr>
        <w:t xml:space="preserve">, </w:t>
      </w:r>
      <w:hyperlink w:anchor="Par142" w:history="1">
        <w:r>
          <w:rPr>
            <w:rFonts w:ascii="Arial" w:hAnsi="Arial" w:cs="Arial"/>
            <w:color w:val="0000FF"/>
            <w:sz w:val="20"/>
            <w:szCs w:val="20"/>
          </w:rPr>
          <w:t>частью 6</w:t>
        </w:r>
      </w:hyperlink>
      <w:r>
        <w:rPr>
          <w:rFonts w:ascii="Arial" w:hAnsi="Arial" w:cs="Arial"/>
          <w:sz w:val="20"/>
          <w:szCs w:val="20"/>
        </w:rP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anchor="Par131" w:history="1">
        <w:r>
          <w:rPr>
            <w:rFonts w:ascii="Arial" w:hAnsi="Arial" w:cs="Arial"/>
            <w:color w:val="0000FF"/>
            <w:sz w:val="20"/>
            <w:szCs w:val="20"/>
          </w:rPr>
          <w:t>пунктами 7</w:t>
        </w:r>
      </w:hyperlink>
      <w:r>
        <w:rPr>
          <w:rFonts w:ascii="Arial" w:hAnsi="Arial" w:cs="Arial"/>
          <w:sz w:val="20"/>
          <w:szCs w:val="20"/>
        </w:rPr>
        <w:t xml:space="preserve">, </w:t>
      </w:r>
      <w:hyperlink w:anchor="Par132" w:history="1">
        <w:r>
          <w:rPr>
            <w:rFonts w:ascii="Arial" w:hAnsi="Arial" w:cs="Arial"/>
            <w:color w:val="0000FF"/>
            <w:sz w:val="20"/>
            <w:szCs w:val="20"/>
          </w:rPr>
          <w:t>8</w:t>
        </w:r>
      </w:hyperlink>
      <w:r>
        <w:rPr>
          <w:rFonts w:ascii="Arial" w:hAnsi="Arial" w:cs="Arial"/>
          <w:sz w:val="20"/>
          <w:szCs w:val="20"/>
        </w:rPr>
        <w:t xml:space="preserve">, </w:t>
      </w:r>
      <w:hyperlink w:anchor="Par134" w:history="1">
        <w:r>
          <w:rPr>
            <w:rFonts w:ascii="Arial" w:hAnsi="Arial" w:cs="Arial"/>
            <w:color w:val="0000FF"/>
            <w:sz w:val="20"/>
            <w:szCs w:val="20"/>
          </w:rPr>
          <w:t>10</w:t>
        </w:r>
      </w:hyperlink>
      <w:r>
        <w:rPr>
          <w:rFonts w:ascii="Arial" w:hAnsi="Arial" w:cs="Arial"/>
          <w:sz w:val="20"/>
          <w:szCs w:val="20"/>
        </w:rPr>
        <w:t xml:space="preserve"> и </w:t>
      </w:r>
      <w:hyperlink w:anchor="Par135" w:history="1">
        <w:r>
          <w:rPr>
            <w:rFonts w:ascii="Arial" w:hAnsi="Arial" w:cs="Arial"/>
            <w:color w:val="0000FF"/>
            <w:sz w:val="20"/>
            <w:szCs w:val="20"/>
          </w:rPr>
          <w:t>11 части 4</w:t>
        </w:r>
      </w:hyperlink>
      <w:r>
        <w:rPr>
          <w:rFonts w:ascii="Arial" w:hAnsi="Arial" w:cs="Arial"/>
          <w:sz w:val="20"/>
          <w:szCs w:val="20"/>
        </w:rPr>
        <w:t xml:space="preserve"> и </w:t>
      </w:r>
      <w:hyperlink w:anchor="Par145" w:history="1">
        <w:r>
          <w:rPr>
            <w:rFonts w:ascii="Arial" w:hAnsi="Arial" w:cs="Arial"/>
            <w:color w:val="0000FF"/>
            <w:sz w:val="20"/>
            <w:szCs w:val="20"/>
          </w:rPr>
          <w:t>частью 7</w:t>
        </w:r>
      </w:hyperlink>
      <w:r>
        <w:rPr>
          <w:rFonts w:ascii="Arial" w:hAnsi="Arial" w:cs="Arial"/>
          <w:sz w:val="20"/>
          <w:szCs w:val="20"/>
        </w:rPr>
        <w:t xml:space="preserve"> настоящей статьи, если такие обязательства предусмотрены договором.</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anchor="Par150" w:history="1">
        <w:r>
          <w:rPr>
            <w:rFonts w:ascii="Arial" w:hAnsi="Arial" w:cs="Arial"/>
            <w:color w:val="0000FF"/>
            <w:sz w:val="20"/>
            <w:szCs w:val="20"/>
          </w:rPr>
          <w:t>частью 12</w:t>
        </w:r>
      </w:hyperlink>
      <w:r>
        <w:rPr>
          <w:rFonts w:ascii="Arial" w:hAnsi="Arial" w:cs="Arial"/>
          <w:sz w:val="20"/>
          <w:szCs w:val="20"/>
        </w:rPr>
        <w:t xml:space="preserve"> настоящей статьи.</w:t>
      </w:r>
    </w:p>
    <w:p w:rsidR="002726F2" w:rsidRDefault="002726F2" w:rsidP="002726F2">
      <w:pPr>
        <w:autoSpaceDE w:val="0"/>
        <w:autoSpaceDN w:val="0"/>
        <w:adjustRightInd w:val="0"/>
        <w:spacing w:after="0" w:line="240" w:lineRule="auto"/>
        <w:jc w:val="both"/>
        <w:rPr>
          <w:rFonts w:ascii="Arial" w:hAnsi="Arial" w:cs="Arial"/>
          <w:sz w:val="20"/>
          <w:szCs w:val="20"/>
        </w:rPr>
      </w:pPr>
    </w:p>
    <w:p w:rsidR="002726F2" w:rsidRDefault="002726F2" w:rsidP="002726F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 w:name="Par156"/>
      <w:bookmarkEnd w:id="27"/>
      <w:r>
        <w:rPr>
          <w:rFonts w:ascii="Arial" w:eastAsiaTheme="minorHAnsi" w:hAnsi="Arial" w:cs="Arial"/>
          <w:b/>
          <w:bCs/>
          <w:color w:val="auto"/>
          <w:sz w:val="20"/>
          <w:szCs w:val="20"/>
        </w:rPr>
        <w:t>Статья 69. Порядок заключения договора о комплексном развитии территории</w:t>
      </w:r>
    </w:p>
    <w:p w:rsidR="002726F2" w:rsidRDefault="002726F2" w:rsidP="002726F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9"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2726F2" w:rsidRDefault="002726F2" w:rsidP="002726F2">
      <w:pPr>
        <w:autoSpaceDE w:val="0"/>
        <w:autoSpaceDN w:val="0"/>
        <w:adjustRightInd w:val="0"/>
        <w:spacing w:after="0" w:line="240" w:lineRule="auto"/>
        <w:jc w:val="both"/>
        <w:rPr>
          <w:rFonts w:ascii="Arial" w:hAnsi="Arial" w:cs="Arial"/>
          <w:sz w:val="20"/>
          <w:szCs w:val="20"/>
        </w:rPr>
      </w:pPr>
    </w:p>
    <w:p w:rsidR="002726F2" w:rsidRDefault="002726F2" w:rsidP="002726F2">
      <w:pPr>
        <w:autoSpaceDE w:val="0"/>
        <w:autoSpaceDN w:val="0"/>
        <w:adjustRightInd w:val="0"/>
        <w:spacing w:after="0" w:line="240" w:lineRule="auto"/>
        <w:ind w:firstLine="540"/>
        <w:jc w:val="both"/>
        <w:rPr>
          <w:rFonts w:ascii="Arial" w:hAnsi="Arial" w:cs="Arial"/>
          <w:sz w:val="20"/>
          <w:szCs w:val="20"/>
        </w:rPr>
      </w:pPr>
      <w:bookmarkStart w:id="28" w:name="Par159"/>
      <w:bookmarkEnd w:id="28"/>
      <w:r>
        <w:rPr>
          <w:rFonts w:ascii="Arial" w:hAnsi="Arial" w:cs="Arial"/>
          <w:sz w:val="20"/>
          <w:szCs w:val="20"/>
        </w:rPr>
        <w:t xml:space="preserve">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anchor="Par82" w:history="1">
        <w:r>
          <w:rPr>
            <w:rFonts w:ascii="Arial" w:hAnsi="Arial" w:cs="Arial"/>
            <w:color w:val="0000FF"/>
            <w:sz w:val="20"/>
            <w:szCs w:val="20"/>
          </w:rPr>
          <w:t>пунктами 2</w:t>
        </w:r>
      </w:hyperlink>
      <w:r>
        <w:rPr>
          <w:rFonts w:ascii="Arial" w:hAnsi="Arial" w:cs="Arial"/>
          <w:sz w:val="20"/>
          <w:szCs w:val="20"/>
        </w:rPr>
        <w:t xml:space="preserve"> и </w:t>
      </w:r>
      <w:hyperlink w:anchor="Par84" w:history="1">
        <w:r>
          <w:rPr>
            <w:rFonts w:ascii="Arial" w:hAnsi="Arial" w:cs="Arial"/>
            <w:color w:val="0000FF"/>
            <w:sz w:val="20"/>
            <w:szCs w:val="20"/>
          </w:rPr>
          <w:t>4 части 7 статьи 66</w:t>
        </w:r>
      </w:hyperlink>
      <w:r>
        <w:rPr>
          <w:rFonts w:ascii="Arial" w:hAnsi="Arial" w:cs="Arial"/>
          <w:sz w:val="20"/>
          <w:szCs w:val="20"/>
        </w:rPr>
        <w:t xml:space="preserve"> или со </w:t>
      </w:r>
      <w:hyperlink w:anchor="Par178" w:history="1">
        <w:r>
          <w:rPr>
            <w:rFonts w:ascii="Arial" w:hAnsi="Arial" w:cs="Arial"/>
            <w:color w:val="0000FF"/>
            <w:sz w:val="20"/>
            <w:szCs w:val="20"/>
          </w:rPr>
          <w:t>статьей 70</w:t>
        </w:r>
      </w:hyperlink>
      <w:r>
        <w:rPr>
          <w:rFonts w:ascii="Arial" w:hAnsi="Arial" w:cs="Arial"/>
          <w:sz w:val="20"/>
          <w:szCs w:val="20"/>
        </w:rPr>
        <w:t xml:space="preserve"> настоящего Кодекса.</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29" w:name="Par160"/>
      <w:bookmarkEnd w:id="29"/>
      <w:r>
        <w:rPr>
          <w:rFonts w:ascii="Arial" w:hAnsi="Arial" w:cs="Arial"/>
          <w:sz w:val="20"/>
          <w:szCs w:val="20"/>
        </w:rPr>
        <w:t xml:space="preserve">2. </w:t>
      </w:r>
      <w:hyperlink r:id="rId20" w:history="1">
        <w:r>
          <w:rPr>
            <w:rFonts w:ascii="Arial" w:hAnsi="Arial" w:cs="Arial"/>
            <w:color w:val="0000FF"/>
            <w:sz w:val="20"/>
            <w:szCs w:val="20"/>
          </w:rPr>
          <w:t>Порядок</w:t>
        </w:r>
      </w:hyperlink>
      <w:r>
        <w:rPr>
          <w:rFonts w:ascii="Arial" w:hAnsi="Arial" w:cs="Arial"/>
          <w:sz w:val="20"/>
          <w:szCs w:val="20"/>
        </w:rPr>
        <w:t xml:space="preserve"> проведения указанных в </w:t>
      </w:r>
      <w:hyperlink w:anchor="Par159" w:history="1">
        <w:r>
          <w:rPr>
            <w:rFonts w:ascii="Arial" w:hAnsi="Arial" w:cs="Arial"/>
            <w:color w:val="0000FF"/>
            <w:sz w:val="20"/>
            <w:szCs w:val="20"/>
          </w:rPr>
          <w:t>части 1</w:t>
        </w:r>
      </w:hyperlink>
      <w:r>
        <w:rPr>
          <w:rFonts w:ascii="Arial" w:hAnsi="Arial" w:cs="Arial"/>
          <w:sz w:val="20"/>
          <w:szCs w:val="20"/>
        </w:rP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anchor="Par174" w:history="1">
        <w:r>
          <w:rPr>
            <w:rFonts w:ascii="Arial" w:hAnsi="Arial" w:cs="Arial"/>
            <w:color w:val="0000FF"/>
            <w:sz w:val="20"/>
            <w:szCs w:val="20"/>
          </w:rPr>
          <w:t>частях 8</w:t>
        </w:r>
      </w:hyperlink>
      <w:r>
        <w:rPr>
          <w:rFonts w:ascii="Arial" w:hAnsi="Arial" w:cs="Arial"/>
          <w:sz w:val="20"/>
          <w:szCs w:val="20"/>
        </w:rPr>
        <w:t xml:space="preserve"> и </w:t>
      </w:r>
      <w:hyperlink w:anchor="Par175" w:history="1">
        <w:r>
          <w:rPr>
            <w:rFonts w:ascii="Arial" w:hAnsi="Arial" w:cs="Arial"/>
            <w:color w:val="0000FF"/>
            <w:sz w:val="20"/>
            <w:szCs w:val="20"/>
          </w:rPr>
          <w:t>9</w:t>
        </w:r>
      </w:hyperlink>
      <w:r>
        <w:rPr>
          <w:rFonts w:ascii="Arial" w:hAnsi="Arial" w:cs="Arial"/>
          <w:sz w:val="20"/>
          <w:szCs w:val="20"/>
        </w:rP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hyperlink r:id="rId21" w:history="1">
        <w:r>
          <w:rPr>
            <w:rFonts w:ascii="Arial" w:hAnsi="Arial" w:cs="Arial"/>
            <w:color w:val="0000FF"/>
            <w:sz w:val="20"/>
            <w:szCs w:val="20"/>
          </w:rPr>
          <w:t>порядок</w:t>
        </w:r>
      </w:hyperlink>
      <w:r>
        <w:rPr>
          <w:rFonts w:ascii="Arial" w:hAnsi="Arial" w:cs="Arial"/>
          <w:sz w:val="20"/>
          <w:szCs w:val="20"/>
        </w:rPr>
        <w:t xml:space="preserve"> заключения указанного договора посредством проведения торгов в электронной форме.</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30" w:name="Par161"/>
      <w:bookmarkEnd w:id="30"/>
      <w:r>
        <w:rPr>
          <w:rFonts w:ascii="Arial" w:hAnsi="Arial" w:cs="Arial"/>
          <w:sz w:val="20"/>
          <w:szCs w:val="20"/>
        </w:rPr>
        <w:t>3. Решение о проведении торгов принимается:</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уполномоченным исполнительным органом государственной власти субъекта Российской Федерации в случае, если решение о комплексном развитии территории принято высшим исполнительным органом государственной власти Российской Федерации;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anchor="Par161" w:history="1">
        <w:r>
          <w:rPr>
            <w:rFonts w:ascii="Arial" w:hAnsi="Arial" w:cs="Arial"/>
            <w:color w:val="0000FF"/>
            <w:sz w:val="20"/>
            <w:szCs w:val="20"/>
          </w:rPr>
          <w:t>части 3</w:t>
        </w:r>
      </w:hyperlink>
      <w:r>
        <w:rPr>
          <w:rFonts w:ascii="Arial" w:hAnsi="Arial" w:cs="Arial"/>
          <w:sz w:val="20"/>
          <w:szCs w:val="20"/>
        </w:rPr>
        <w:t xml:space="preserve"> настоящей статьи, или действующая на основании договора с ними организация.</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w:t>
      </w:r>
      <w:hyperlink r:id="rId22"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В случае, если решение о комплексном развитии территории принято высшим исполнительным органом государственной власти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государственной власти субъекта Российской Федерации.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Торги признаются несостоявшимися в следующих случаях:</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 подано ни одной заявки на участие в торгах либо принято решение об отказе в допуске к участию в торгах всех заявителей;</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дату окончания срока подачи заявок на участие в торгах подана только одна заявка на участие в торгах;</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только один заявитель допущен к участию в торгах;</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торгах, проводимых в форме аукциона, участвовали менее чем два участника аукциона;</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31" w:name="Par174"/>
      <w:bookmarkEnd w:id="31"/>
      <w:r>
        <w:rPr>
          <w:rFonts w:ascii="Arial" w:hAnsi="Arial" w:cs="Arial"/>
          <w:sz w:val="20"/>
          <w:szCs w:val="20"/>
        </w:rP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anchor="Par160" w:history="1">
        <w:r>
          <w:rPr>
            <w:rFonts w:ascii="Arial" w:hAnsi="Arial" w:cs="Arial"/>
            <w:color w:val="0000FF"/>
            <w:sz w:val="20"/>
            <w:szCs w:val="20"/>
          </w:rPr>
          <w:t>частью 2</w:t>
        </w:r>
      </w:hyperlink>
      <w:r>
        <w:rPr>
          <w:rFonts w:ascii="Arial" w:hAnsi="Arial" w:cs="Arial"/>
          <w:sz w:val="20"/>
          <w:szCs w:val="20"/>
        </w:rP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32" w:name="Par175"/>
      <w:bookmarkEnd w:id="32"/>
      <w:r>
        <w:rPr>
          <w:rFonts w:ascii="Arial" w:hAnsi="Arial" w:cs="Arial"/>
          <w:sz w:val="20"/>
          <w:szCs w:val="20"/>
        </w:rP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anchor="Par160" w:history="1">
        <w:r>
          <w:rPr>
            <w:rFonts w:ascii="Arial" w:hAnsi="Arial" w:cs="Arial"/>
            <w:color w:val="0000FF"/>
            <w:sz w:val="20"/>
            <w:szCs w:val="20"/>
          </w:rPr>
          <w:t>частью 2</w:t>
        </w:r>
      </w:hyperlink>
      <w:r>
        <w:rPr>
          <w:rFonts w:ascii="Arial" w:hAnsi="Arial" w:cs="Arial"/>
          <w:sz w:val="20"/>
          <w:szCs w:val="20"/>
        </w:rP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rsidR="002726F2" w:rsidRDefault="002726F2" w:rsidP="002726F2">
      <w:pPr>
        <w:autoSpaceDE w:val="0"/>
        <w:autoSpaceDN w:val="0"/>
        <w:adjustRightInd w:val="0"/>
        <w:spacing w:after="0" w:line="240" w:lineRule="auto"/>
        <w:jc w:val="both"/>
        <w:rPr>
          <w:rFonts w:ascii="Arial" w:hAnsi="Arial" w:cs="Arial"/>
          <w:sz w:val="20"/>
          <w:szCs w:val="20"/>
        </w:rPr>
      </w:pPr>
    </w:p>
    <w:p w:rsidR="002726F2" w:rsidRDefault="002726F2" w:rsidP="002726F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3" w:name="Par178"/>
      <w:bookmarkEnd w:id="33"/>
      <w:r>
        <w:rPr>
          <w:rFonts w:ascii="Arial" w:eastAsiaTheme="minorHAnsi" w:hAnsi="Arial" w:cs="Arial"/>
          <w:b/>
          <w:bCs/>
          <w:color w:val="auto"/>
          <w:sz w:val="20"/>
          <w:szCs w:val="20"/>
        </w:rPr>
        <w:t>Статья 70. Комплексное развитие территории по инициативе правообладателей</w:t>
      </w:r>
    </w:p>
    <w:p w:rsidR="002726F2" w:rsidRDefault="002726F2" w:rsidP="002726F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3"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2726F2" w:rsidRDefault="002726F2" w:rsidP="002726F2">
      <w:pPr>
        <w:autoSpaceDE w:val="0"/>
        <w:autoSpaceDN w:val="0"/>
        <w:adjustRightInd w:val="0"/>
        <w:spacing w:after="0" w:line="240" w:lineRule="auto"/>
        <w:jc w:val="both"/>
        <w:rPr>
          <w:rFonts w:ascii="Arial" w:hAnsi="Arial" w:cs="Arial"/>
          <w:sz w:val="20"/>
          <w:szCs w:val="20"/>
        </w:rPr>
      </w:pPr>
    </w:p>
    <w:p w:rsidR="002726F2" w:rsidRDefault="002726F2" w:rsidP="002726F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hyperlink r:id="rId24" w:history="1">
        <w:r>
          <w:rPr>
            <w:rFonts w:ascii="Arial" w:hAnsi="Arial" w:cs="Arial"/>
            <w:color w:val="0000FF"/>
            <w:sz w:val="20"/>
            <w:szCs w:val="20"/>
          </w:rPr>
          <w:t>Порядок</w:t>
        </w:r>
      </w:hyperlink>
      <w:r>
        <w:rPr>
          <w:rFonts w:ascii="Arial" w:hAnsi="Arial" w:cs="Arial"/>
          <w:sz w:val="20"/>
          <w:szCs w:val="20"/>
        </w:rPr>
        <w:t xml:space="preserve"> такого согласования устанавливается Правительством Российской Федерации.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anchor="Par118" w:history="1">
        <w:r>
          <w:rPr>
            <w:rFonts w:ascii="Arial" w:hAnsi="Arial" w:cs="Arial"/>
            <w:color w:val="0000FF"/>
            <w:sz w:val="20"/>
            <w:szCs w:val="20"/>
          </w:rPr>
          <w:t>статьей 68</w:t>
        </w:r>
      </w:hyperlink>
      <w:r>
        <w:rPr>
          <w:rFonts w:ascii="Arial" w:hAnsi="Arial" w:cs="Arial"/>
          <w:sz w:val="20"/>
          <w:szCs w:val="20"/>
        </w:rPr>
        <w:t xml:space="preserve"> настоящего Кодекса с учетом положений настоящей статьи.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34" w:name="Par186"/>
      <w:bookmarkEnd w:id="34"/>
      <w:r>
        <w:rPr>
          <w:rFonts w:ascii="Arial" w:hAnsi="Arial" w:cs="Arial"/>
          <w:sz w:val="20"/>
          <w:szCs w:val="20"/>
        </w:rPr>
        <w:t>6. Условиями соглашения являются:</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утверждению документации по планировке территории;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ответственность сторон за неисполнение или ненадлежащее исполнение соглашения;</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обязательство сторон заключить с органом местного самоуправления договор о комплексном развитии территории.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35" w:name="Par192"/>
      <w:bookmarkEnd w:id="35"/>
      <w:r>
        <w:rPr>
          <w:rFonts w:ascii="Arial" w:hAnsi="Arial" w:cs="Arial"/>
          <w:sz w:val="20"/>
          <w:szCs w:val="20"/>
        </w:rPr>
        <w:t xml:space="preserve">7. В соглашении наряду с предусмотренными в </w:t>
      </w:r>
      <w:hyperlink w:anchor="Par186" w:history="1">
        <w:r>
          <w:rPr>
            <w:rFonts w:ascii="Arial" w:hAnsi="Arial" w:cs="Arial"/>
            <w:color w:val="0000FF"/>
            <w:sz w:val="20"/>
            <w:szCs w:val="20"/>
          </w:rPr>
          <w:t>части 6</w:t>
        </w:r>
      </w:hyperlink>
      <w:r>
        <w:rPr>
          <w:rFonts w:ascii="Arial" w:hAnsi="Arial" w:cs="Arial"/>
          <w:sz w:val="20"/>
          <w:szCs w:val="20"/>
        </w:rP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36" w:name="Par194"/>
      <w:bookmarkEnd w:id="36"/>
      <w:r>
        <w:rPr>
          <w:rFonts w:ascii="Arial" w:hAnsi="Arial" w:cs="Arial"/>
          <w:sz w:val="20"/>
          <w:szCs w:val="20"/>
        </w:rPr>
        <w:t>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10. Односторонний отказ от исполнения договора одной из сторон допускается в случаях, предусмотренных </w:t>
      </w:r>
      <w:hyperlink w:anchor="Par118" w:history="1">
        <w:r>
          <w:rPr>
            <w:rFonts w:ascii="Arial" w:hAnsi="Arial" w:cs="Arial"/>
            <w:color w:val="0000FF"/>
            <w:sz w:val="20"/>
            <w:szCs w:val="20"/>
          </w:rPr>
          <w:t>статьей 68</w:t>
        </w:r>
      </w:hyperlink>
      <w:r>
        <w:rPr>
          <w:rFonts w:ascii="Arial" w:hAnsi="Arial" w:cs="Arial"/>
          <w:sz w:val="20"/>
          <w:szCs w:val="20"/>
        </w:rPr>
        <w:t xml:space="preserve"> настоящего Кодекса, а также в случае, предусмотренном </w:t>
      </w:r>
      <w:hyperlink w:anchor="Par198" w:history="1">
        <w:r>
          <w:rPr>
            <w:rFonts w:ascii="Arial" w:hAnsi="Arial" w:cs="Arial"/>
            <w:color w:val="0000FF"/>
            <w:sz w:val="20"/>
            <w:szCs w:val="20"/>
          </w:rPr>
          <w:t>частью 13</w:t>
        </w:r>
      </w:hyperlink>
      <w:r>
        <w:rPr>
          <w:rFonts w:ascii="Arial" w:hAnsi="Arial" w:cs="Arial"/>
          <w:sz w:val="20"/>
          <w:szCs w:val="20"/>
        </w:rPr>
        <w:t xml:space="preserve"> настоящей статьи.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bookmarkStart w:id="37" w:name="Par198"/>
      <w:bookmarkEnd w:id="37"/>
      <w:r>
        <w:rPr>
          <w:rFonts w:ascii="Arial" w:hAnsi="Arial" w:cs="Arial"/>
          <w:sz w:val="20"/>
          <w:szCs w:val="20"/>
        </w:rPr>
        <w:t>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rsidR="002726F2" w:rsidRDefault="002726F2" w:rsidP="002726F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Положения </w:t>
      </w:r>
      <w:hyperlink w:anchor="Par194" w:history="1">
        <w:r>
          <w:rPr>
            <w:rFonts w:ascii="Arial" w:hAnsi="Arial" w:cs="Arial"/>
            <w:color w:val="0000FF"/>
            <w:sz w:val="20"/>
            <w:szCs w:val="20"/>
          </w:rPr>
          <w:t>частей 9</w:t>
        </w:r>
      </w:hyperlink>
      <w:r>
        <w:rPr>
          <w:rFonts w:ascii="Arial" w:hAnsi="Arial" w:cs="Arial"/>
          <w:sz w:val="20"/>
          <w:szCs w:val="20"/>
        </w:rPr>
        <w:t xml:space="preserve"> - </w:t>
      </w:r>
      <w:hyperlink w:anchor="Par198" w:history="1">
        <w:r>
          <w:rPr>
            <w:rFonts w:ascii="Arial" w:hAnsi="Arial" w:cs="Arial"/>
            <w:color w:val="0000FF"/>
            <w:sz w:val="20"/>
            <w:szCs w:val="20"/>
          </w:rPr>
          <w:t>13</w:t>
        </w:r>
      </w:hyperlink>
      <w:r>
        <w:rPr>
          <w:rFonts w:ascii="Arial" w:hAnsi="Arial" w:cs="Arial"/>
          <w:sz w:val="20"/>
          <w:szCs w:val="20"/>
        </w:rPr>
        <w:t xml:space="preserve">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w:t>
      </w:r>
      <w:hyperlink w:anchor="Par82" w:history="1">
        <w:r>
          <w:rPr>
            <w:rFonts w:ascii="Arial" w:hAnsi="Arial" w:cs="Arial"/>
            <w:color w:val="0000FF"/>
            <w:sz w:val="20"/>
            <w:szCs w:val="20"/>
          </w:rPr>
          <w:t>пунктами 2</w:t>
        </w:r>
      </w:hyperlink>
      <w:r>
        <w:rPr>
          <w:rFonts w:ascii="Arial" w:hAnsi="Arial" w:cs="Arial"/>
          <w:sz w:val="20"/>
          <w:szCs w:val="20"/>
        </w:rPr>
        <w:t xml:space="preserve"> и </w:t>
      </w:r>
      <w:hyperlink w:anchor="Par83" w:history="1">
        <w:r>
          <w:rPr>
            <w:rFonts w:ascii="Arial" w:hAnsi="Arial" w:cs="Arial"/>
            <w:color w:val="0000FF"/>
            <w:sz w:val="20"/>
            <w:szCs w:val="20"/>
          </w:rPr>
          <w:t>3 части 7 статьи 66</w:t>
        </w:r>
      </w:hyperlink>
      <w:r>
        <w:rPr>
          <w:rFonts w:ascii="Arial" w:hAnsi="Arial" w:cs="Arial"/>
          <w:sz w:val="20"/>
          <w:szCs w:val="20"/>
        </w:rPr>
        <w:t xml:space="preserve"> настоящего Кодекса.</w:t>
      </w:r>
    </w:p>
    <w:p w:rsidR="007056E4" w:rsidRDefault="002726F2"/>
    <w:sectPr w:rsidR="007056E4" w:rsidSect="00A37C0E">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F2"/>
    <w:rsid w:val="002726F2"/>
    <w:rsid w:val="006A04D7"/>
    <w:rsid w:val="00F60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D5A1"/>
  <w15:chartTrackingRefBased/>
  <w15:docId w15:val="{684DAF8C-366E-4241-BD64-6BB1C52C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A9A22ECA57488116CEFC8A008B397995B9CC96BAC4261315C60FFC00ADBD5A6E8A6CA0193D9EE14086697BF0B6E1D25ADF6F0DD65F9F49sCd9O" TargetMode="External"/><Relationship Id="rId13" Type="http://schemas.openxmlformats.org/officeDocument/2006/relationships/hyperlink" Target="consultantplus://offline/ref=7BA9A22ECA57488116CEFC8A008B397995B9CA95B4C4261315C60FFC00ADBD5A6E8A6CA0193D9EE04986697BF0B6E1D25ADF6F0DD65F9F49sCd9O" TargetMode="External"/><Relationship Id="rId18" Type="http://schemas.openxmlformats.org/officeDocument/2006/relationships/hyperlink" Target="consultantplus://offline/ref=7BA9A22ECA57488116CEFC8A008B397992B3CB98BAC0261315C60FFC00ADBD5A6E8A6CA81C3C95B518C96827B4EAF2D351DF6C0FCAs5dFO"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7BA9A22ECA57488116CEFC8A008B397995B8CE91B8C9261315C60FFC00ADBD5A6E8A6CA0193D9FE34A86697BF0B6E1D25ADF6F0DD65F9F49sCd9O" TargetMode="External"/><Relationship Id="rId7" Type="http://schemas.openxmlformats.org/officeDocument/2006/relationships/hyperlink" Target="consultantplus://offline/ref=7BA9A22ECA57488116CEFC8A008B397992B2CD99B8C9261315C60FFC00ADBD5A6E8A6CA0193D9FE94186697BF0B6E1D25ADF6F0DD65F9F49sCd9O" TargetMode="External"/><Relationship Id="rId12" Type="http://schemas.openxmlformats.org/officeDocument/2006/relationships/hyperlink" Target="consultantplus://offline/ref=7BA9A22ECA57488116CEFC8A008B397995B9CA95B4C4261315C60FFC00ADBD5A6E8A6CA0193D9EE04986697BF0B6E1D25ADF6F0DD65F9F49sCd9O" TargetMode="External"/><Relationship Id="rId17" Type="http://schemas.openxmlformats.org/officeDocument/2006/relationships/hyperlink" Target="consultantplus://offline/ref=7BA9A22ECA57488116CEFC8A008B397995B7C897BAC7261315C60FFC00ADBD5A6E8A6CA0193D9EE94A86697BF0B6E1D25ADF6F0DD65F9F49sCd9O"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7BA9A22ECA57488116CEFC8A008B397995B5C995BDC4261315C60FFC00ADBD5A6E8A6CA0193D9EE04986697BF0B6E1D25ADF6F0DD65F9F49sCd9O" TargetMode="External"/><Relationship Id="rId20" Type="http://schemas.openxmlformats.org/officeDocument/2006/relationships/hyperlink" Target="consultantplus://offline/ref=7BA9A22ECA57488116CEFC8A008B397995B8CE91B8C9261315C60FFC00ADBD5A6E8A6CA0193D9EE04886697BF0B6E1D25ADF6F0DD65F9F49sCd9O" TargetMode="External"/><Relationship Id="rId1" Type="http://schemas.openxmlformats.org/officeDocument/2006/relationships/styles" Target="styles.xml"/><Relationship Id="rId6" Type="http://schemas.openxmlformats.org/officeDocument/2006/relationships/hyperlink" Target="consultantplus://offline/ref=7BA9A22ECA57488116CEFC8A008B397995B7C897BAC7261315C60FFC00ADBD5A6E8A6CA0193D9EE94A86697BF0B6E1D25ADF6F0DD65F9F49sCd9O" TargetMode="External"/><Relationship Id="rId11" Type="http://schemas.openxmlformats.org/officeDocument/2006/relationships/hyperlink" Target="consultantplus://offline/ref=7BA9A22ECA57488116CEFC8A008B397995B7C897BAC7261315C60FFC00ADBD5A6E8A6CA0193D9EE94A86697BF0B6E1D25ADF6F0DD65F9F49sCd9O" TargetMode="External"/><Relationship Id="rId24" Type="http://schemas.openxmlformats.org/officeDocument/2006/relationships/hyperlink" Target="consultantplus://offline/ref=7BA9A22ECA57488116CEFC8A008B397995B8C895B5C5261315C60FFC00ADBD5A6E8A6CA0193D9EE14186697BF0B6E1D25ADF6F0DD65F9F49sCd9O" TargetMode="External"/><Relationship Id="rId5" Type="http://schemas.openxmlformats.org/officeDocument/2006/relationships/hyperlink" Target="consultantplus://offline/ref=7BA9A22ECA57488116CEFC8A008B397995B7C897BAC7261315C60FFC00ADBD5A6E8A6CA0193D9EE94A86697BF0B6E1D25ADF6F0DD65F9F49sCd9O" TargetMode="External"/><Relationship Id="rId15" Type="http://schemas.openxmlformats.org/officeDocument/2006/relationships/hyperlink" Target="consultantplus://offline/ref=7BA9A22ECA57488116CEFC8A008B397992B1CD98B8C1261315C60FFC00ADBD5A6E8A6CA21A399FEA1DDC797FB9E3E5CC52C3700DC85Fs9dDO" TargetMode="External"/><Relationship Id="rId23" Type="http://schemas.openxmlformats.org/officeDocument/2006/relationships/hyperlink" Target="consultantplus://offline/ref=7BA9A22ECA57488116CEFC8A008B397995B7C897BAC7261315C60FFC00ADBD5A6E8A6CA0193D9EE94A86697BF0B6E1D25ADF6F0DD65F9F49sCd9O" TargetMode="External"/><Relationship Id="rId10" Type="http://schemas.openxmlformats.org/officeDocument/2006/relationships/hyperlink" Target="consultantplus://offline/ref=7BA9A22ECA57488116CEFC8A008B397992B0CF95BBC4261315C60FFC00ADBD5A6E8A6CA0193D9EE94E86697BF0B6E1D25ADF6F0DD65F9F49sCd9O" TargetMode="External"/><Relationship Id="rId19" Type="http://schemas.openxmlformats.org/officeDocument/2006/relationships/hyperlink" Target="consultantplus://offline/ref=7BA9A22ECA57488116CEFC8A008B397995B7C897BAC7261315C60FFC00ADBD5A6E8A6CA0193D9EE94A86697BF0B6E1D25ADF6F0DD65F9F49sCd9O" TargetMode="External"/><Relationship Id="rId4" Type="http://schemas.openxmlformats.org/officeDocument/2006/relationships/hyperlink" Target="consultantplus://offline/ref=7BA9A22ECA57488116CEFC8A008B397995B7C897BAC7261315C60FFC00ADBD5A6E8A6CA0193D9EE94A86697BF0B6E1D25ADF6F0DD65F9F49sCd9O" TargetMode="External"/><Relationship Id="rId9" Type="http://schemas.openxmlformats.org/officeDocument/2006/relationships/hyperlink" Target="consultantplus://offline/ref=7BA9A22ECA57488116CEFC8A008B397992B0CF95BBC4261315C60FFC00ADBD5A6E8A6CA0193D9EE94F86697BF0B6E1D25ADF6F0DD65F9F49sCd9O" TargetMode="External"/><Relationship Id="rId14" Type="http://schemas.openxmlformats.org/officeDocument/2006/relationships/hyperlink" Target="consultantplus://offline/ref=7BA9A22ECA57488116CEFC8A008B397995B7C897BAC7261315C60FFC00ADBD5A6E8A6CA0193D9EE94A86697BF0B6E1D25ADF6F0DD65F9F49sCd9O" TargetMode="External"/><Relationship Id="rId22" Type="http://schemas.openxmlformats.org/officeDocument/2006/relationships/hyperlink" Target="consultantplus://offline/ref=7BA9A22ECA57488116CEFC8A008B397995B8CE91B8C9261315C60FFC00ADBD5A6E8A6CA0193D9FE04E86697BF0B6E1D25ADF6F0DD65F9F49sCd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8798</Words>
  <Characters>50151</Characters>
  <Application>Microsoft Office Word</Application>
  <DocSecurity>0</DocSecurity>
  <Lines>417</Lines>
  <Paragraphs>117</Paragraphs>
  <ScaleCrop>false</ScaleCrop>
  <Company/>
  <LinksUpToDate>false</LinksUpToDate>
  <CharactersWithSpaces>58832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Степанцова Светлана Александровна</dc:creator>
  <cp:keywords/>
  <dc:description/>
  <cp:lastModifiedBy>Степанцова Светлана Александровна</cp:lastModifiedBy>
  <cp:revision>1</cp:revision>
  <dcterms:created xsi:type="dcterms:W3CDTF">2022-12-09T14:29:00Z</dcterms:created>
  <dcterms:modified xsi:type="dcterms:W3CDTF">2022-12-09T14:31:00Z</dcterms:modified>
</cp:coreProperties>
</file>